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6047C" w14:textId="77777777" w:rsidR="00075BC2" w:rsidRPr="00F3184C" w:rsidRDefault="00075BC2" w:rsidP="00075BC2">
      <w:pPr>
        <w:spacing w:line="480" w:lineRule="auto"/>
        <w:rPr>
          <w:rFonts w:ascii="Arial" w:hAnsi="Arial" w:cs="Arial"/>
          <w:b/>
          <w:bCs/>
        </w:rPr>
      </w:pPr>
      <w:r w:rsidRPr="007D4194">
        <w:rPr>
          <w:rFonts w:ascii="Arial" w:hAnsi="Arial" w:cs="Arial"/>
          <w:b/>
          <w:bCs/>
        </w:rPr>
        <w:t xml:space="preserve">SUPPLEMENTARY MATERIAL </w:t>
      </w:r>
    </w:p>
    <w:p w14:paraId="10B6CD4F" w14:textId="77777777" w:rsidR="00075BC2" w:rsidRPr="00F3184C" w:rsidRDefault="00075BC2" w:rsidP="00075BC2">
      <w:pPr>
        <w:rPr>
          <w:rFonts w:ascii="Arial" w:hAnsi="Arial" w:cs="Arial"/>
          <w:i/>
          <w:iCs/>
        </w:rPr>
      </w:pPr>
      <w:r w:rsidRPr="00F3184C">
        <w:rPr>
          <w:rFonts w:ascii="Arial" w:hAnsi="Arial" w:cs="Arial"/>
          <w:i/>
          <w:iCs/>
        </w:rPr>
        <w:t xml:space="preserve">A. List of variables available for analysis </w:t>
      </w:r>
    </w:p>
    <w:p w14:paraId="4FEF1562" w14:textId="77777777" w:rsidR="00075BC2" w:rsidRDefault="00075BC2" w:rsidP="00075BC2">
      <w:pPr>
        <w:rPr>
          <w:rFonts w:ascii="Arial" w:hAnsi="Arial" w:cs="Arial"/>
        </w:rPr>
      </w:pPr>
      <w:r>
        <w:rPr>
          <w:rFonts w:ascii="Arial" w:hAnsi="Arial" w:cs="Arial"/>
        </w:rPr>
        <w:t xml:space="preserve">Baseline: Age (&lt;65, &gt;=65 years old), Region (US, Europe, Rest of world), Gender, ECOG status, Histology (MF, SS), Disease stage, </w:t>
      </w:r>
      <w:proofErr w:type="gramStart"/>
      <w:r>
        <w:rPr>
          <w:rFonts w:ascii="Arial" w:hAnsi="Arial" w:cs="Arial"/>
        </w:rPr>
        <w:t>Best</w:t>
      </w:r>
      <w:proofErr w:type="gramEnd"/>
      <w:r>
        <w:rPr>
          <w:rFonts w:ascii="Arial" w:hAnsi="Arial" w:cs="Arial"/>
        </w:rPr>
        <w:t xml:space="preserve"> response to last CTCL therapy, CCR4 Expression Status, LDH category, Time from initial diagnosis, number of prior CTCL therapies, prior radiotherapy    </w:t>
      </w:r>
    </w:p>
    <w:p w14:paraId="22142798" w14:textId="77777777" w:rsidR="00075BC2" w:rsidRDefault="00075BC2" w:rsidP="00075BC2">
      <w:pPr>
        <w:rPr>
          <w:rFonts w:ascii="Arial" w:hAnsi="Arial" w:cs="Arial"/>
        </w:rPr>
      </w:pPr>
      <w:r>
        <w:rPr>
          <w:rFonts w:ascii="Arial" w:hAnsi="Arial" w:cs="Arial"/>
        </w:rPr>
        <w:t>Time-dependent: Progressed disease, adverse events (any), adverse events (grade 2+)</w:t>
      </w:r>
    </w:p>
    <w:p w14:paraId="7A3FC7A2" w14:textId="77777777" w:rsidR="00075BC2" w:rsidRPr="000F1D3E" w:rsidRDefault="00075BC2" w:rsidP="00075BC2">
      <w:pPr>
        <w:rPr>
          <w:rFonts w:ascii="Arial" w:hAnsi="Arial" w:cs="Arial"/>
          <w:i/>
          <w:iCs/>
        </w:rPr>
      </w:pPr>
      <w:r w:rsidRPr="000F1D3E">
        <w:rPr>
          <w:rFonts w:ascii="Arial" w:hAnsi="Arial" w:cs="Arial"/>
          <w:i/>
          <w:iCs/>
        </w:rPr>
        <w:t xml:space="preserve">B. Methodology to fit survival curves </w:t>
      </w:r>
    </w:p>
    <w:p w14:paraId="7BDA94BF" w14:textId="77777777" w:rsidR="00075BC2" w:rsidRDefault="00075BC2" w:rsidP="00075BC2">
      <w:pPr>
        <w:rPr>
          <w:rFonts w:ascii="Arial" w:hAnsi="Arial" w:cs="Arial"/>
        </w:rPr>
      </w:pPr>
      <w:r>
        <w:rPr>
          <w:rFonts w:ascii="Arial" w:hAnsi="Arial" w:cs="Arial"/>
        </w:rPr>
        <w:t xml:space="preserve">Separate parametric models were fit to each treatment arm. The following parametric models were explored: exponential, Weibull, log-normal, log-logistic, gamma, generalised gamma, and </w:t>
      </w:r>
      <w:proofErr w:type="spellStart"/>
      <w:r>
        <w:rPr>
          <w:rFonts w:ascii="Arial" w:hAnsi="Arial" w:cs="Arial"/>
        </w:rPr>
        <w:t>Gompertz</w:t>
      </w:r>
      <w:proofErr w:type="spellEnd"/>
      <w:r>
        <w:rPr>
          <w:rFonts w:ascii="Arial" w:hAnsi="Arial" w:cs="Arial"/>
        </w:rPr>
        <w:t xml:space="preserve">. </w:t>
      </w:r>
    </w:p>
    <w:p w14:paraId="0B89702E" w14:textId="77777777" w:rsidR="00075BC2" w:rsidRPr="004F35E1" w:rsidRDefault="00075BC2" w:rsidP="00075BC2">
      <w:pPr>
        <w:rPr>
          <w:rFonts w:ascii="Arial" w:hAnsi="Arial" w:cs="Arial"/>
        </w:rPr>
      </w:pPr>
      <w:r w:rsidRPr="004F35E1">
        <w:rPr>
          <w:rFonts w:ascii="Arial" w:hAnsi="Arial" w:cs="Arial"/>
        </w:rPr>
        <w:t>Selection of the base case parametric model was based on standard criteria</w:t>
      </w:r>
      <w:r>
        <w:rPr>
          <w:rFonts w:ascii="Arial" w:hAnsi="Arial" w:cs="Arial"/>
        </w:rPr>
        <w:t xml:space="preserve"> used by Health Technology Assessment agencies</w:t>
      </w:r>
      <w:r>
        <w:rPr>
          <w:rFonts w:ascii="Arial" w:hAnsi="Arial" w:cs="Arial"/>
        </w:rPr>
        <w:fldChar w:fldCharType="begin"/>
      </w:r>
      <w:r>
        <w:rPr>
          <w:rFonts w:ascii="Arial" w:hAnsi="Arial" w:cs="Arial"/>
        </w:rPr>
        <w:instrText xml:space="preserve"> ADDIN ZOTERO_ITEM CSL_CITATION {"citationID":"YAsVutzS","properties":{"formattedCitation":"(22)","plainCitation":"(22)","noteIndex":0},"citationItems":[{"id":73888,"uris":["http://zotero.org/groups/2347103/items/9JAVT2UT"],"uri":["http://zotero.org/groups/2347103/items/9JAVT2UT"],"itemData":{"id":73888,"type":"article-journal","container-title":"Decision Support Unit, ScHARR","title":"NICE DSU Technical Support Document 14: Survival Analysis For Economic Evaluations Alongside Clinical Trials - Extrapolation With Patient-Level Data","author":[{"family":"Latimer","given":"N"}],"accessed":{"date-parts":[["2021",12,15]]},"issued":{"date-parts":[["2013",6]]}}}],"schema":"https://github.com/citation-style-language/schema/raw/master/csl-citation.json"} </w:instrText>
      </w:r>
      <w:r>
        <w:rPr>
          <w:rFonts w:ascii="Arial" w:hAnsi="Arial" w:cs="Arial"/>
        </w:rPr>
        <w:fldChar w:fldCharType="separate"/>
      </w:r>
      <w:r w:rsidRPr="00EC35FC">
        <w:rPr>
          <w:rFonts w:ascii="Arial" w:hAnsi="Arial" w:cs="Arial"/>
        </w:rPr>
        <w:t>(22)</w:t>
      </w:r>
      <w:r>
        <w:rPr>
          <w:rFonts w:ascii="Arial" w:hAnsi="Arial" w:cs="Arial"/>
        </w:rPr>
        <w:fldChar w:fldCharType="end"/>
      </w:r>
      <w:r w:rsidRPr="004F35E1">
        <w:rPr>
          <w:rFonts w:ascii="Arial" w:hAnsi="Arial" w:cs="Arial"/>
        </w:rPr>
        <w:t>:</w:t>
      </w:r>
    </w:p>
    <w:p w14:paraId="32A153E0" w14:textId="77777777" w:rsidR="00075BC2" w:rsidRPr="00763C1B" w:rsidRDefault="00075BC2" w:rsidP="00075BC2">
      <w:pPr>
        <w:pStyle w:val="ListParagraph"/>
        <w:numPr>
          <w:ilvl w:val="0"/>
          <w:numId w:val="1"/>
        </w:numPr>
        <w:rPr>
          <w:rFonts w:ascii="Arial" w:hAnsi="Arial" w:cs="Arial"/>
        </w:rPr>
      </w:pPr>
      <w:r w:rsidRPr="00763C1B">
        <w:rPr>
          <w:rFonts w:ascii="Arial" w:hAnsi="Arial" w:cs="Arial"/>
        </w:rPr>
        <w:t xml:space="preserve">Objective statistical measures of goodness of fit to observed KM data: Akaike information criterion and Bayesian information criterion </w:t>
      </w:r>
      <w:proofErr w:type="gramStart"/>
      <w:r w:rsidRPr="00763C1B">
        <w:rPr>
          <w:rFonts w:ascii="Arial" w:hAnsi="Arial" w:cs="Arial"/>
        </w:rPr>
        <w:t>statistics;</w:t>
      </w:r>
      <w:proofErr w:type="gramEnd"/>
    </w:p>
    <w:p w14:paraId="721B96EF" w14:textId="77777777" w:rsidR="00075BC2" w:rsidRPr="00763C1B" w:rsidRDefault="00075BC2" w:rsidP="00075BC2">
      <w:pPr>
        <w:pStyle w:val="ListParagraph"/>
        <w:numPr>
          <w:ilvl w:val="0"/>
          <w:numId w:val="1"/>
        </w:numPr>
        <w:rPr>
          <w:rFonts w:ascii="Arial" w:hAnsi="Arial" w:cs="Arial"/>
        </w:rPr>
      </w:pPr>
      <w:r w:rsidRPr="00763C1B">
        <w:rPr>
          <w:rFonts w:ascii="Arial" w:hAnsi="Arial" w:cs="Arial"/>
        </w:rPr>
        <w:t>Visual inspection of goodness of fit to observed KM data</w:t>
      </w:r>
      <w:r w:rsidRPr="00B90901">
        <w:rPr>
          <w:rFonts w:ascii="Arial" w:hAnsi="Arial" w:cs="Arial"/>
        </w:rPr>
        <w:t xml:space="preserve">, and </w:t>
      </w:r>
      <w:r w:rsidRPr="00763C1B">
        <w:rPr>
          <w:rFonts w:ascii="Arial" w:hAnsi="Arial" w:cs="Arial"/>
        </w:rPr>
        <w:t>diagnostic plots, including the log-cumulative hazard plot</w:t>
      </w:r>
      <w:r>
        <w:rPr>
          <w:rFonts w:ascii="Arial" w:hAnsi="Arial" w:cs="Arial"/>
        </w:rPr>
        <w:t xml:space="preserve">s </w:t>
      </w:r>
    </w:p>
    <w:p w14:paraId="277A3182" w14:textId="77777777" w:rsidR="00075BC2" w:rsidRPr="00763C1B" w:rsidRDefault="00075BC2" w:rsidP="00075BC2">
      <w:pPr>
        <w:pStyle w:val="ListParagraph"/>
        <w:numPr>
          <w:ilvl w:val="0"/>
          <w:numId w:val="1"/>
        </w:numPr>
        <w:rPr>
          <w:rFonts w:ascii="Arial" w:hAnsi="Arial" w:cs="Arial"/>
        </w:rPr>
      </w:pPr>
      <w:r>
        <w:rPr>
          <w:rFonts w:ascii="Arial" w:hAnsi="Arial" w:cs="Arial"/>
        </w:rPr>
        <w:t>C</w:t>
      </w:r>
      <w:r w:rsidRPr="00763C1B">
        <w:rPr>
          <w:rFonts w:ascii="Arial" w:hAnsi="Arial" w:cs="Arial"/>
        </w:rPr>
        <w:t xml:space="preserve">linical plausibility of extrapolations beyond observed KM data, assessed through structured interviews with leading NHS consultants experienced with the treatment and care of MF and SS patients in an NHS England setting </w:t>
      </w:r>
    </w:p>
    <w:p w14:paraId="15CA043F" w14:textId="77777777" w:rsidR="00075BC2" w:rsidRDefault="00075BC2" w:rsidP="00075BC2">
      <w:pPr>
        <w:rPr>
          <w:rFonts w:ascii="Arial" w:hAnsi="Arial" w:cs="Arial"/>
          <w:i/>
          <w:iCs/>
        </w:rPr>
      </w:pPr>
      <w:r>
        <w:rPr>
          <w:rFonts w:ascii="Arial" w:hAnsi="Arial" w:cs="Arial"/>
          <w:i/>
          <w:iCs/>
        </w:rPr>
        <w:t>C</w:t>
      </w:r>
      <w:r w:rsidRPr="000F1D3E">
        <w:rPr>
          <w:rFonts w:ascii="Arial" w:hAnsi="Arial" w:cs="Arial"/>
          <w:i/>
          <w:iCs/>
        </w:rPr>
        <w:t xml:space="preserve">. IPCW extra detail: Weights </w:t>
      </w:r>
    </w:p>
    <w:p w14:paraId="0211AB53" w14:textId="55A01341" w:rsidR="00075BC2" w:rsidRDefault="00075BC2" w:rsidP="00075BC2">
      <w:r>
        <w:fldChar w:fldCharType="begin"/>
      </w:r>
      <w:r>
        <w:instrText xml:space="preserve"> REF _Ref27578397 \h </w:instrText>
      </w:r>
      <w:r>
        <w:fldChar w:fldCharType="separate"/>
      </w:r>
      <w:r w:rsidRPr="00791BEE">
        <w:t xml:space="preserve">Figure </w:t>
      </w:r>
      <w:r>
        <w:rPr>
          <w:noProof/>
        </w:rPr>
        <w:t>1</w:t>
      </w:r>
      <w:r>
        <w:fldChar w:fldCharType="end"/>
      </w:r>
      <w:r>
        <w:t xml:space="preserve"> shows the weights applied in the IPCW analysis for step 3. There were a small number of extreme weights. </w:t>
      </w:r>
    </w:p>
    <w:p w14:paraId="7AE638BC" w14:textId="513DDEB0" w:rsidR="00075BC2" w:rsidRPr="00791BEE" w:rsidRDefault="00075BC2" w:rsidP="00075BC2">
      <w:bookmarkStart w:id="0" w:name="_Ref27578397"/>
      <w:r w:rsidRPr="00791BEE">
        <w:t xml:space="preserve">Figure </w:t>
      </w:r>
      <w:fldSimple w:instr=" SEQ Figure \* ARABIC ">
        <w:r>
          <w:rPr>
            <w:noProof/>
          </w:rPr>
          <w:t>1</w:t>
        </w:r>
      </w:fldSimple>
      <w:bookmarkEnd w:id="0"/>
      <w:r w:rsidRPr="00791BEE">
        <w:t>: Histogram of weights from the IPCW analysis</w:t>
      </w:r>
    </w:p>
    <w:p w14:paraId="6D1B7D3B" w14:textId="77777777" w:rsidR="00075BC2" w:rsidRPr="009340F5" w:rsidRDefault="00075BC2" w:rsidP="00075BC2">
      <w:pPr>
        <w:rPr>
          <w:highlight w:val="yellow"/>
        </w:rPr>
      </w:pPr>
      <w:r w:rsidRPr="009340F5">
        <w:rPr>
          <w:noProof/>
          <w:highlight w:val="yellow"/>
        </w:rPr>
        <w:drawing>
          <wp:inline distT="0" distB="0" distL="0" distR="0" wp14:anchorId="4444EF58" wp14:editId="239ECEE0">
            <wp:extent cx="3891170" cy="3314700"/>
            <wp:effectExtent l="0" t="0" r="0" b="0"/>
            <wp:docPr id="5" name="Picture 5"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histogram&#10;&#10;Description automatically generated"/>
                    <pic:cNvPicPr/>
                  </pic:nvPicPr>
                  <pic:blipFill>
                    <a:blip r:embed="rId5"/>
                    <a:stretch>
                      <a:fillRect/>
                    </a:stretch>
                  </pic:blipFill>
                  <pic:spPr>
                    <a:xfrm>
                      <a:off x="0" y="0"/>
                      <a:ext cx="3891695" cy="3315147"/>
                    </a:xfrm>
                    <a:prstGeom prst="rect">
                      <a:avLst/>
                    </a:prstGeom>
                  </pic:spPr>
                </pic:pic>
              </a:graphicData>
            </a:graphic>
          </wp:inline>
        </w:drawing>
      </w:r>
    </w:p>
    <w:p w14:paraId="52A037CB" w14:textId="77777777" w:rsidR="00075BC2" w:rsidRPr="00791BEE" w:rsidRDefault="00075BC2" w:rsidP="00075BC2"/>
    <w:p w14:paraId="67894E38" w14:textId="1ACBD838" w:rsidR="00075BC2" w:rsidRDefault="00075BC2" w:rsidP="00075BC2">
      <w:r w:rsidRPr="00791BEE">
        <w:t>The profile of weights over time are shown</w:t>
      </w:r>
      <w:r>
        <w:t xml:space="preserve"> in </w:t>
      </w:r>
      <w:r>
        <w:fldChar w:fldCharType="begin"/>
      </w:r>
      <w:r>
        <w:instrText xml:space="preserve"> REF _Ref85805846 \h </w:instrText>
      </w:r>
      <w:r>
        <w:fldChar w:fldCharType="separate"/>
      </w:r>
      <w:r w:rsidRPr="00791BEE">
        <w:t xml:space="preserve">Figure </w:t>
      </w:r>
      <w:r>
        <w:rPr>
          <w:noProof/>
        </w:rPr>
        <w:t>2</w:t>
      </w:r>
      <w:r>
        <w:fldChar w:fldCharType="end"/>
      </w:r>
      <w:r>
        <w:t>.</w:t>
      </w:r>
    </w:p>
    <w:p w14:paraId="198AB4A1" w14:textId="3275010F" w:rsidR="00075BC2" w:rsidRDefault="00075BC2" w:rsidP="00075BC2">
      <w:bookmarkStart w:id="1" w:name="_Ref85805846"/>
      <w:r w:rsidRPr="00791BEE">
        <w:t xml:space="preserve">Figure </w:t>
      </w:r>
      <w:fldSimple w:instr=" SEQ Figure \* ARABIC ">
        <w:r>
          <w:rPr>
            <w:noProof/>
          </w:rPr>
          <w:t>2</w:t>
        </w:r>
      </w:fldSimple>
      <w:bookmarkEnd w:id="1"/>
      <w:r w:rsidRPr="00791BEE">
        <w:rPr>
          <w:noProof/>
        </w:rPr>
        <w:t>:</w:t>
      </w:r>
      <w:r w:rsidRPr="00791BEE">
        <w:t xml:space="preserve"> Plot of weights over time from the IPCW analysis</w:t>
      </w:r>
    </w:p>
    <w:p w14:paraId="794048BF" w14:textId="77777777" w:rsidR="00075BC2" w:rsidRDefault="00075BC2" w:rsidP="00075BC2">
      <w:r w:rsidRPr="009340F5">
        <w:rPr>
          <w:noProof/>
          <w:highlight w:val="yellow"/>
        </w:rPr>
        <w:drawing>
          <wp:inline distT="0" distB="0" distL="0" distR="0" wp14:anchorId="1E7331EE" wp14:editId="444F4709">
            <wp:extent cx="3771900" cy="3213100"/>
            <wp:effectExtent l="0" t="0" r="0" b="0"/>
            <wp:docPr id="6" name="Picture 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10;&#10;Description automatically generated"/>
                    <pic:cNvPicPr/>
                  </pic:nvPicPr>
                  <pic:blipFill>
                    <a:blip r:embed="rId6"/>
                    <a:stretch>
                      <a:fillRect/>
                    </a:stretch>
                  </pic:blipFill>
                  <pic:spPr>
                    <a:xfrm>
                      <a:off x="0" y="0"/>
                      <a:ext cx="3771900" cy="3213100"/>
                    </a:xfrm>
                    <a:prstGeom prst="rect">
                      <a:avLst/>
                    </a:prstGeom>
                  </pic:spPr>
                </pic:pic>
              </a:graphicData>
            </a:graphic>
          </wp:inline>
        </w:drawing>
      </w:r>
    </w:p>
    <w:p w14:paraId="3233B36F" w14:textId="77777777" w:rsidR="00075BC2" w:rsidRDefault="00075BC2" w:rsidP="00075BC2"/>
    <w:p w14:paraId="04778078" w14:textId="77777777" w:rsidR="00075BC2" w:rsidRPr="00665B96" w:rsidRDefault="00075BC2" w:rsidP="00075BC2"/>
    <w:p w14:paraId="77883895" w14:textId="77777777" w:rsidR="00075BC2" w:rsidRDefault="00075BC2" w:rsidP="00075BC2">
      <w:pPr>
        <w:spacing w:line="480" w:lineRule="auto"/>
        <w:rPr>
          <w:rFonts w:ascii="Arial" w:hAnsi="Arial" w:cs="Arial"/>
          <w:i/>
          <w:iCs/>
        </w:rPr>
      </w:pPr>
      <w:r>
        <w:rPr>
          <w:rFonts w:ascii="Arial" w:hAnsi="Arial" w:cs="Arial"/>
          <w:i/>
          <w:iCs/>
        </w:rPr>
        <w:t xml:space="preserve">D. ITT population </w:t>
      </w:r>
    </w:p>
    <w:p w14:paraId="3FEFA6C9" w14:textId="795FA7D1" w:rsidR="00075BC2" w:rsidRDefault="00075BC2" w:rsidP="00075BC2">
      <w:pPr>
        <w:spacing w:line="480" w:lineRule="auto"/>
        <w:rPr>
          <w:rFonts w:ascii="Arial" w:hAnsi="Arial" w:cs="Arial"/>
        </w:rPr>
      </w:pPr>
      <w:r>
        <w:rPr>
          <w:rFonts w:ascii="Arial" w:hAnsi="Arial" w:cs="Arial"/>
        </w:rPr>
        <w:t xml:space="preserve">The OS HR for </w:t>
      </w:r>
      <w:r w:rsidRPr="000F2657">
        <w:rPr>
          <w:rFonts w:ascii="Arial" w:hAnsi="Arial" w:cs="Arial"/>
        </w:rPr>
        <w:t xml:space="preserve">mogamulizumab </w:t>
      </w:r>
      <w:r>
        <w:rPr>
          <w:rFonts w:ascii="Arial" w:hAnsi="Arial" w:cs="Arial"/>
        </w:rPr>
        <w:t xml:space="preserve">compared to </w:t>
      </w:r>
      <w:proofErr w:type="spellStart"/>
      <w:r>
        <w:rPr>
          <w:rFonts w:ascii="Arial" w:hAnsi="Arial" w:cs="Arial"/>
        </w:rPr>
        <w:t>vorinostat</w:t>
      </w:r>
      <w:proofErr w:type="spellEnd"/>
      <w:r w:rsidRPr="00D54C3C">
        <w:rPr>
          <w:rFonts w:ascii="Arial" w:hAnsi="Arial" w:cs="Arial"/>
        </w:rPr>
        <w:t xml:space="preserve"> </w:t>
      </w:r>
      <w:r>
        <w:rPr>
          <w:rFonts w:ascii="Arial" w:hAnsi="Arial" w:cs="Arial"/>
        </w:rPr>
        <w:t xml:space="preserve">without adjustment for crossover was 1.06 (CI 0.75, 1.49). Median OS was 58.37 months in the </w:t>
      </w:r>
      <w:proofErr w:type="spellStart"/>
      <w:r>
        <w:rPr>
          <w:rFonts w:ascii="Arial" w:hAnsi="Arial" w:cs="Arial"/>
        </w:rPr>
        <w:t>vorinostat</w:t>
      </w:r>
      <w:proofErr w:type="spellEnd"/>
      <w:r>
        <w:rPr>
          <w:rFonts w:ascii="Arial" w:hAnsi="Arial" w:cs="Arial"/>
        </w:rPr>
        <w:t xml:space="preserve"> arm and 57.17 months in the </w:t>
      </w:r>
      <w:r w:rsidRPr="000F2657">
        <w:rPr>
          <w:rFonts w:ascii="Arial" w:hAnsi="Arial" w:cs="Arial"/>
        </w:rPr>
        <w:t>mogamulizumab</w:t>
      </w:r>
      <w:r>
        <w:rPr>
          <w:rFonts w:ascii="Arial" w:hAnsi="Arial" w:cs="Arial"/>
        </w:rPr>
        <w:t xml:space="preserve"> arm. The unadjusted Kaplan Meier curve is included in </w:t>
      </w:r>
      <w:r>
        <w:rPr>
          <w:rFonts w:ascii="Arial" w:hAnsi="Arial" w:cs="Arial"/>
        </w:rPr>
        <w:fldChar w:fldCharType="begin"/>
      </w:r>
      <w:r>
        <w:rPr>
          <w:rFonts w:ascii="Arial" w:hAnsi="Arial" w:cs="Arial"/>
        </w:rPr>
        <w:instrText xml:space="preserve"> REF _Ref85806427 \h  \* MERGEFORMAT </w:instrText>
      </w:r>
      <w:r>
        <w:rPr>
          <w:rFonts w:ascii="Arial" w:hAnsi="Arial" w:cs="Arial"/>
        </w:rPr>
      </w:r>
      <w:r>
        <w:rPr>
          <w:rFonts w:ascii="Arial" w:hAnsi="Arial" w:cs="Arial"/>
        </w:rPr>
        <w:fldChar w:fldCharType="separate"/>
      </w:r>
      <w:r w:rsidRPr="00075BC2">
        <w:rPr>
          <w:rFonts w:ascii="Arial" w:hAnsi="Arial" w:cs="Arial"/>
        </w:rPr>
        <w:t>Figure 3</w:t>
      </w:r>
      <w:r>
        <w:rPr>
          <w:rFonts w:ascii="Arial" w:hAnsi="Arial" w:cs="Arial"/>
        </w:rPr>
        <w:fldChar w:fldCharType="end"/>
      </w:r>
      <w:r>
        <w:rPr>
          <w:rFonts w:ascii="Arial" w:hAnsi="Arial" w:cs="Arial"/>
        </w:rPr>
        <w:t xml:space="preserve">a. </w:t>
      </w:r>
    </w:p>
    <w:p w14:paraId="67DE5432" w14:textId="77777777" w:rsidR="00075BC2" w:rsidRDefault="00075BC2" w:rsidP="00075BC2">
      <w:pPr>
        <w:spacing w:line="480" w:lineRule="auto"/>
        <w:rPr>
          <w:rFonts w:ascii="Arial" w:hAnsi="Arial" w:cs="Arial"/>
        </w:rPr>
      </w:pPr>
      <w:r>
        <w:rPr>
          <w:rFonts w:ascii="Arial" w:hAnsi="Arial" w:cs="Arial"/>
        </w:rPr>
        <w:t xml:space="preserve">Findings for the ITT population are consistent to those for the advanced population. </w:t>
      </w:r>
    </w:p>
    <w:p w14:paraId="5750E093" w14:textId="77777777" w:rsidR="00075BC2" w:rsidRDefault="00075BC2" w:rsidP="00075BC2">
      <w:pPr>
        <w:spacing w:line="480" w:lineRule="auto"/>
        <w:rPr>
          <w:rFonts w:ascii="Arial" w:hAnsi="Arial" w:cs="Arial"/>
          <w:u w:val="single"/>
        </w:rPr>
      </w:pPr>
      <w:r w:rsidRPr="003B0FF6">
        <w:rPr>
          <w:rFonts w:ascii="Arial" w:hAnsi="Arial" w:cs="Arial"/>
          <w:u w:val="single"/>
        </w:rPr>
        <w:t xml:space="preserve">RPSFTM </w:t>
      </w:r>
    </w:p>
    <w:p w14:paraId="54C43C25" w14:textId="77777777" w:rsidR="00075BC2" w:rsidRPr="00F3184C" w:rsidRDefault="00075BC2" w:rsidP="00075BC2">
      <w:pPr>
        <w:spacing w:line="480" w:lineRule="auto"/>
        <w:rPr>
          <w:rFonts w:ascii="Arial" w:hAnsi="Arial" w:cs="Arial"/>
          <w:u w:val="single"/>
        </w:rPr>
      </w:pPr>
      <w:r>
        <w:rPr>
          <w:rFonts w:ascii="Arial" w:hAnsi="Arial" w:cs="Arial"/>
        </w:rPr>
        <w:t xml:space="preserve">The OS HR for </w:t>
      </w:r>
      <w:r w:rsidRPr="000F2657">
        <w:rPr>
          <w:rFonts w:ascii="Arial" w:hAnsi="Arial" w:cs="Arial"/>
        </w:rPr>
        <w:t xml:space="preserve">mogamulizumab </w:t>
      </w:r>
      <w:r>
        <w:rPr>
          <w:rFonts w:ascii="Arial" w:hAnsi="Arial" w:cs="Arial"/>
        </w:rPr>
        <w:t xml:space="preserve">compared to </w:t>
      </w:r>
      <w:proofErr w:type="spellStart"/>
      <w:r>
        <w:rPr>
          <w:rFonts w:ascii="Arial" w:hAnsi="Arial" w:cs="Arial"/>
        </w:rPr>
        <w:t>vorinostat</w:t>
      </w:r>
      <w:proofErr w:type="spellEnd"/>
      <w:r>
        <w:rPr>
          <w:rFonts w:ascii="Arial" w:hAnsi="Arial" w:cs="Arial"/>
        </w:rPr>
        <w:t xml:space="preserve"> was </w:t>
      </w:r>
      <w:r w:rsidRPr="00DA3807">
        <w:rPr>
          <w:rFonts w:ascii="Arial" w:hAnsi="Arial" w:cs="Arial"/>
        </w:rPr>
        <w:t>1.</w:t>
      </w:r>
      <w:r>
        <w:rPr>
          <w:rFonts w:ascii="Arial" w:hAnsi="Arial" w:cs="Arial"/>
        </w:rPr>
        <w:t>23</w:t>
      </w:r>
      <w:r w:rsidRPr="00DA3807">
        <w:rPr>
          <w:rFonts w:ascii="Arial" w:hAnsi="Arial" w:cs="Arial"/>
        </w:rPr>
        <w:t xml:space="preserve"> (</w:t>
      </w:r>
      <w:r>
        <w:rPr>
          <w:rFonts w:ascii="Arial" w:hAnsi="Arial" w:cs="Arial"/>
        </w:rPr>
        <w:t xml:space="preserve">CI </w:t>
      </w:r>
      <w:r w:rsidRPr="00DA3807">
        <w:rPr>
          <w:rFonts w:ascii="Arial" w:hAnsi="Arial" w:cs="Arial"/>
        </w:rPr>
        <w:t>0.</w:t>
      </w:r>
      <w:r>
        <w:rPr>
          <w:rFonts w:ascii="Arial" w:hAnsi="Arial" w:cs="Arial"/>
        </w:rPr>
        <w:t>87</w:t>
      </w:r>
      <w:r w:rsidRPr="00DA3807">
        <w:rPr>
          <w:rFonts w:ascii="Arial" w:hAnsi="Arial" w:cs="Arial"/>
        </w:rPr>
        <w:t>, 1.</w:t>
      </w:r>
      <w:r>
        <w:rPr>
          <w:rFonts w:ascii="Arial" w:hAnsi="Arial" w:cs="Arial"/>
        </w:rPr>
        <w:t>74</w:t>
      </w:r>
      <w:r w:rsidRPr="00DA3807">
        <w:rPr>
          <w:rFonts w:ascii="Arial" w:hAnsi="Arial" w:cs="Arial"/>
        </w:rPr>
        <w:t>)</w:t>
      </w:r>
      <w:r>
        <w:rPr>
          <w:rFonts w:ascii="Arial" w:hAnsi="Arial" w:cs="Arial"/>
        </w:rPr>
        <w:t xml:space="preserve">. Median OS was 71.24 months in the </w:t>
      </w:r>
      <w:proofErr w:type="spellStart"/>
      <w:r>
        <w:rPr>
          <w:rFonts w:ascii="Arial" w:hAnsi="Arial" w:cs="Arial"/>
        </w:rPr>
        <w:t>vorinostat</w:t>
      </w:r>
      <w:proofErr w:type="spellEnd"/>
      <w:r>
        <w:rPr>
          <w:rFonts w:ascii="Arial" w:hAnsi="Arial" w:cs="Arial"/>
        </w:rPr>
        <w:t xml:space="preserve"> arm and 51.17 months in the mogamulizumab arm. As with the advanced population, the common treatment effect assumption was not considered to be satisfied.</w:t>
      </w:r>
    </w:p>
    <w:p w14:paraId="074441FE" w14:textId="77777777" w:rsidR="00075BC2" w:rsidRDefault="00075BC2" w:rsidP="00075BC2">
      <w:pPr>
        <w:spacing w:line="480" w:lineRule="auto"/>
        <w:rPr>
          <w:rFonts w:ascii="Arial" w:hAnsi="Arial" w:cs="Arial"/>
          <w:u w:val="single"/>
        </w:rPr>
      </w:pPr>
      <w:r w:rsidRPr="00E91B6B">
        <w:rPr>
          <w:rFonts w:ascii="Arial" w:hAnsi="Arial" w:cs="Arial"/>
          <w:u w:val="single"/>
        </w:rPr>
        <w:lastRenderedPageBreak/>
        <w:t>IPCW</w:t>
      </w:r>
    </w:p>
    <w:p w14:paraId="60A46BFD" w14:textId="6CA7D4B3" w:rsidR="00075BC2" w:rsidRDefault="00075BC2" w:rsidP="00075BC2">
      <w:pPr>
        <w:spacing w:line="480" w:lineRule="auto"/>
        <w:rPr>
          <w:rFonts w:ascii="Arial" w:hAnsi="Arial" w:cs="Arial"/>
        </w:rPr>
      </w:pPr>
      <w:r>
        <w:rPr>
          <w:rFonts w:ascii="Arial" w:hAnsi="Arial" w:cs="Arial"/>
        </w:rPr>
        <w:t>When the weights detailed above were applied to the ITT population, the c</w:t>
      </w:r>
      <w:r w:rsidRPr="00D54C3C">
        <w:rPr>
          <w:rFonts w:ascii="Arial" w:hAnsi="Arial" w:cs="Arial"/>
        </w:rPr>
        <w:t xml:space="preserve">entral </w:t>
      </w:r>
      <w:r>
        <w:rPr>
          <w:rFonts w:ascii="Arial" w:hAnsi="Arial" w:cs="Arial"/>
        </w:rPr>
        <w:t>HR</w:t>
      </w:r>
      <w:r w:rsidRPr="00D54C3C">
        <w:rPr>
          <w:rFonts w:ascii="Arial" w:hAnsi="Arial" w:cs="Arial"/>
        </w:rPr>
        <w:t xml:space="preserve"> </w:t>
      </w:r>
      <w:r>
        <w:rPr>
          <w:rFonts w:ascii="Arial" w:hAnsi="Arial" w:cs="Arial"/>
        </w:rPr>
        <w:t xml:space="preserve">after adjusting for crossover using IPCW </w:t>
      </w:r>
      <w:r w:rsidRPr="007002DA">
        <w:rPr>
          <w:rFonts w:ascii="Arial" w:hAnsi="Arial" w:cs="Arial"/>
        </w:rPr>
        <w:t>was 0.</w:t>
      </w:r>
      <w:r w:rsidRPr="00710569">
        <w:rPr>
          <w:rFonts w:ascii="Arial" w:hAnsi="Arial" w:cs="Arial"/>
        </w:rPr>
        <w:t>5</w:t>
      </w:r>
      <w:r>
        <w:rPr>
          <w:rFonts w:ascii="Arial" w:hAnsi="Arial" w:cs="Arial"/>
        </w:rPr>
        <w:t>3</w:t>
      </w:r>
      <w:r w:rsidRPr="00710569">
        <w:rPr>
          <w:rFonts w:ascii="Arial" w:hAnsi="Arial" w:cs="Arial"/>
        </w:rPr>
        <w:t xml:space="preserve"> (CI: 0.2</w:t>
      </w:r>
      <w:r>
        <w:rPr>
          <w:rFonts w:ascii="Arial" w:hAnsi="Arial" w:cs="Arial"/>
        </w:rPr>
        <w:t>4</w:t>
      </w:r>
      <w:r w:rsidRPr="00710569">
        <w:rPr>
          <w:rFonts w:ascii="Arial" w:hAnsi="Arial" w:cs="Arial"/>
        </w:rPr>
        <w:t>, 1.</w:t>
      </w:r>
      <w:r>
        <w:rPr>
          <w:rFonts w:ascii="Arial" w:hAnsi="Arial" w:cs="Arial"/>
        </w:rPr>
        <w:t>16</w:t>
      </w:r>
      <w:r w:rsidRPr="00710569">
        <w:rPr>
          <w:rFonts w:ascii="Arial" w:hAnsi="Arial" w:cs="Arial"/>
        </w:rPr>
        <w:t xml:space="preserve">) for mogamulizumab compared to </w:t>
      </w:r>
      <w:proofErr w:type="spellStart"/>
      <w:r w:rsidRPr="00710569">
        <w:rPr>
          <w:rFonts w:ascii="Arial" w:hAnsi="Arial" w:cs="Arial"/>
        </w:rPr>
        <w:t>vorinostat</w:t>
      </w:r>
      <w:proofErr w:type="spellEnd"/>
      <w:r w:rsidRPr="00710569">
        <w:rPr>
          <w:rFonts w:ascii="Arial" w:hAnsi="Arial" w:cs="Arial"/>
        </w:rPr>
        <w:t xml:space="preserve">. Median survival in the </w:t>
      </w:r>
      <w:proofErr w:type="spellStart"/>
      <w:r w:rsidRPr="00710569">
        <w:rPr>
          <w:rFonts w:ascii="Arial" w:hAnsi="Arial" w:cs="Arial"/>
        </w:rPr>
        <w:t>vorinostat</w:t>
      </w:r>
      <w:proofErr w:type="spellEnd"/>
      <w:r w:rsidRPr="00710569">
        <w:rPr>
          <w:rFonts w:ascii="Arial" w:hAnsi="Arial" w:cs="Arial"/>
        </w:rPr>
        <w:t xml:space="preserve"> arm was 45.67 months in the unadjusted </w:t>
      </w:r>
      <w:proofErr w:type="gramStart"/>
      <w:r w:rsidRPr="00710569">
        <w:rPr>
          <w:rFonts w:ascii="Arial" w:hAnsi="Arial" w:cs="Arial"/>
        </w:rPr>
        <w:t>analysis, and</w:t>
      </w:r>
      <w:proofErr w:type="gramEnd"/>
      <w:r w:rsidRPr="00710569">
        <w:rPr>
          <w:rFonts w:ascii="Arial" w:hAnsi="Arial" w:cs="Arial"/>
        </w:rPr>
        <w:t xml:space="preserve"> fell to </w:t>
      </w:r>
      <w:r w:rsidRPr="007002DA">
        <w:rPr>
          <w:rFonts w:ascii="Arial" w:hAnsi="Arial" w:cs="Arial"/>
        </w:rPr>
        <w:t xml:space="preserve">27.07 months in the IPCW-adjusted analysis. The Kaplan Meier curves have been </w:t>
      </w:r>
      <w:r w:rsidRPr="00D97A89">
        <w:rPr>
          <w:rFonts w:ascii="Arial" w:hAnsi="Arial" w:cs="Arial"/>
        </w:rPr>
        <w:t xml:space="preserve">included in </w:t>
      </w:r>
      <w:r w:rsidRPr="00D97A89">
        <w:rPr>
          <w:rFonts w:ascii="Arial" w:hAnsi="Arial" w:cs="Arial"/>
        </w:rPr>
        <w:fldChar w:fldCharType="begin"/>
      </w:r>
      <w:r w:rsidRPr="00D97A89">
        <w:rPr>
          <w:rFonts w:ascii="Arial" w:hAnsi="Arial" w:cs="Arial"/>
        </w:rPr>
        <w:instrText xml:space="preserve"> REF _Ref85806427 \h  \* MERGEFORMAT </w:instrText>
      </w:r>
      <w:r w:rsidRPr="00D97A89">
        <w:rPr>
          <w:rFonts w:ascii="Arial" w:hAnsi="Arial" w:cs="Arial"/>
        </w:rPr>
      </w:r>
      <w:r w:rsidRPr="00D97A89">
        <w:rPr>
          <w:rFonts w:ascii="Arial" w:hAnsi="Arial" w:cs="Arial"/>
        </w:rPr>
        <w:fldChar w:fldCharType="separate"/>
      </w:r>
      <w:r w:rsidRPr="00075BC2">
        <w:rPr>
          <w:rFonts w:ascii="Arial" w:hAnsi="Arial" w:cs="Arial"/>
        </w:rPr>
        <w:t>Figure 3</w:t>
      </w:r>
      <w:r w:rsidRPr="00D97A89">
        <w:rPr>
          <w:rFonts w:ascii="Arial" w:hAnsi="Arial" w:cs="Arial"/>
        </w:rPr>
        <w:fldChar w:fldCharType="end"/>
      </w:r>
      <w:r w:rsidRPr="00D97A89">
        <w:rPr>
          <w:rFonts w:ascii="Arial" w:hAnsi="Arial" w:cs="Arial"/>
        </w:rPr>
        <w:t>b. The</w:t>
      </w:r>
      <w:r>
        <w:rPr>
          <w:rFonts w:ascii="Arial" w:hAnsi="Arial" w:cs="Arial"/>
        </w:rPr>
        <w:t xml:space="preserve"> method produces a visible drop in the numbers at risk as participants are censored from the analysis after the crossover is allowed </w:t>
      </w:r>
      <w:r w:rsidRPr="00486D92">
        <w:rPr>
          <w:rFonts w:ascii="Arial" w:hAnsi="Arial" w:cs="Arial"/>
        </w:rPr>
        <w:t>after two full cycle</w:t>
      </w:r>
      <w:r>
        <w:rPr>
          <w:rFonts w:ascii="Arial" w:hAnsi="Arial" w:cs="Arial"/>
        </w:rPr>
        <w:t>s</w:t>
      </w:r>
      <w:r w:rsidRPr="00486D92">
        <w:rPr>
          <w:rFonts w:ascii="Arial" w:hAnsi="Arial" w:cs="Arial"/>
        </w:rPr>
        <w:t xml:space="preserve"> of treatment. </w:t>
      </w:r>
    </w:p>
    <w:p w14:paraId="1ECFA406" w14:textId="77777777" w:rsidR="00075BC2" w:rsidRDefault="00075BC2" w:rsidP="00075BC2">
      <w:pPr>
        <w:spacing w:line="480" w:lineRule="auto"/>
        <w:rPr>
          <w:rFonts w:ascii="Arial" w:hAnsi="Arial" w:cs="Arial"/>
        </w:rPr>
      </w:pPr>
      <w:r w:rsidRPr="00C76CD8">
        <w:rPr>
          <w:rFonts w:ascii="Arial" w:hAnsi="Arial" w:cs="Arial"/>
          <w:u w:val="single"/>
        </w:rPr>
        <w:t>TSE</w:t>
      </w:r>
    </w:p>
    <w:p w14:paraId="1ED44F3A" w14:textId="1DD26D61" w:rsidR="00075BC2" w:rsidRDefault="00075BC2" w:rsidP="00075BC2">
      <w:pPr>
        <w:spacing w:line="480" w:lineRule="auto"/>
        <w:rPr>
          <w:rFonts w:ascii="Arial" w:hAnsi="Arial" w:cs="Arial"/>
        </w:rPr>
      </w:pPr>
      <w:r>
        <w:rPr>
          <w:rFonts w:ascii="Arial" w:hAnsi="Arial" w:cs="Arial"/>
        </w:rPr>
        <w:t>When the weights detailed above were applied to the ITT population, the c</w:t>
      </w:r>
      <w:r w:rsidRPr="00D54C3C">
        <w:rPr>
          <w:rFonts w:ascii="Arial" w:hAnsi="Arial" w:cs="Arial"/>
        </w:rPr>
        <w:t xml:space="preserve">entral </w:t>
      </w:r>
      <w:r>
        <w:rPr>
          <w:rFonts w:ascii="Arial" w:hAnsi="Arial" w:cs="Arial"/>
        </w:rPr>
        <w:t xml:space="preserve">HR after adjusting for crossover using TSE was 0.71 (CI: 0.50, 1.01) for mogamulizumab compared to </w:t>
      </w:r>
      <w:proofErr w:type="spellStart"/>
      <w:r>
        <w:rPr>
          <w:rFonts w:ascii="Arial" w:hAnsi="Arial" w:cs="Arial"/>
        </w:rPr>
        <w:t>vorinostat</w:t>
      </w:r>
      <w:proofErr w:type="spellEnd"/>
      <w:r>
        <w:rPr>
          <w:rFonts w:ascii="Arial" w:hAnsi="Arial" w:cs="Arial"/>
        </w:rPr>
        <w:t xml:space="preserve">. Median survival in the </w:t>
      </w:r>
      <w:proofErr w:type="spellStart"/>
      <w:r>
        <w:rPr>
          <w:rFonts w:ascii="Arial" w:hAnsi="Arial" w:cs="Arial"/>
        </w:rPr>
        <w:t>vorinostat</w:t>
      </w:r>
      <w:proofErr w:type="spellEnd"/>
      <w:r>
        <w:rPr>
          <w:rFonts w:ascii="Arial" w:hAnsi="Arial" w:cs="Arial"/>
        </w:rPr>
        <w:t xml:space="preserve"> arm was not reached in the unadjusted analysis, </w:t>
      </w:r>
      <w:r w:rsidRPr="007002DA">
        <w:rPr>
          <w:rFonts w:ascii="Arial" w:hAnsi="Arial" w:cs="Arial"/>
        </w:rPr>
        <w:t xml:space="preserve">which fell </w:t>
      </w:r>
      <w:r w:rsidRPr="00710569">
        <w:rPr>
          <w:rFonts w:ascii="Arial" w:hAnsi="Arial" w:cs="Arial"/>
        </w:rPr>
        <w:t xml:space="preserve">to 41.93 months </w:t>
      </w:r>
      <w:r>
        <w:rPr>
          <w:rFonts w:ascii="Arial" w:hAnsi="Arial" w:cs="Arial"/>
        </w:rPr>
        <w:t>in the TSE-adjusted analysis.</w:t>
      </w:r>
      <w:r w:rsidRPr="00480F07">
        <w:rPr>
          <w:rFonts w:ascii="Arial" w:hAnsi="Arial" w:cs="Arial"/>
        </w:rPr>
        <w:t xml:space="preserve"> </w:t>
      </w:r>
      <w:r>
        <w:rPr>
          <w:rFonts w:ascii="Arial" w:hAnsi="Arial" w:cs="Arial"/>
        </w:rPr>
        <w:t xml:space="preserve">The Kaplan Meier curves have been included in </w:t>
      </w:r>
      <w:r>
        <w:rPr>
          <w:rFonts w:ascii="Arial" w:hAnsi="Arial" w:cs="Arial"/>
        </w:rPr>
        <w:fldChar w:fldCharType="begin"/>
      </w:r>
      <w:r>
        <w:rPr>
          <w:rFonts w:ascii="Arial" w:hAnsi="Arial" w:cs="Arial"/>
        </w:rPr>
        <w:instrText xml:space="preserve"> REF _Ref85806427 \h  \* MERGEFORMAT </w:instrText>
      </w:r>
      <w:r>
        <w:rPr>
          <w:rFonts w:ascii="Arial" w:hAnsi="Arial" w:cs="Arial"/>
        </w:rPr>
      </w:r>
      <w:r>
        <w:rPr>
          <w:rFonts w:ascii="Arial" w:hAnsi="Arial" w:cs="Arial"/>
        </w:rPr>
        <w:fldChar w:fldCharType="separate"/>
      </w:r>
      <w:r w:rsidRPr="00075BC2">
        <w:rPr>
          <w:rFonts w:ascii="Arial" w:hAnsi="Arial" w:cs="Arial"/>
        </w:rPr>
        <w:t>Figure 3</w:t>
      </w:r>
      <w:r>
        <w:rPr>
          <w:rFonts w:ascii="Arial" w:hAnsi="Arial" w:cs="Arial"/>
        </w:rPr>
        <w:fldChar w:fldCharType="end"/>
      </w:r>
      <w:r>
        <w:rPr>
          <w:rFonts w:ascii="Arial" w:hAnsi="Arial" w:cs="Arial"/>
        </w:rPr>
        <w:t xml:space="preserve">c. </w:t>
      </w:r>
    </w:p>
    <w:p w14:paraId="51F01DC4" w14:textId="77777777" w:rsidR="00075BC2" w:rsidRDefault="00075BC2" w:rsidP="00075BC2">
      <w:pPr>
        <w:spacing w:line="480" w:lineRule="auto"/>
        <w:rPr>
          <w:rFonts w:ascii="Arial" w:hAnsi="Arial" w:cs="Arial"/>
        </w:rPr>
      </w:pPr>
    </w:p>
    <w:p w14:paraId="03B2BCCD" w14:textId="77777777" w:rsidR="00075BC2" w:rsidRDefault="00075BC2" w:rsidP="00075BC2">
      <w:pPr>
        <w:spacing w:line="480" w:lineRule="auto"/>
        <w:rPr>
          <w:rFonts w:ascii="Arial" w:hAnsi="Arial" w:cs="Arial"/>
        </w:rPr>
      </w:pPr>
    </w:p>
    <w:p w14:paraId="7B01BAB8" w14:textId="77777777" w:rsidR="00075BC2" w:rsidRDefault="00075BC2" w:rsidP="00075BC2">
      <w:pPr>
        <w:spacing w:line="480" w:lineRule="auto"/>
        <w:rPr>
          <w:rFonts w:ascii="Arial" w:hAnsi="Arial" w:cs="Arial"/>
        </w:rPr>
      </w:pPr>
    </w:p>
    <w:p w14:paraId="0C65122B" w14:textId="77777777" w:rsidR="00075BC2" w:rsidRDefault="00075BC2" w:rsidP="00075BC2">
      <w:pPr>
        <w:spacing w:line="480" w:lineRule="auto"/>
        <w:rPr>
          <w:rFonts w:ascii="Arial" w:hAnsi="Arial" w:cs="Arial"/>
        </w:rPr>
      </w:pPr>
    </w:p>
    <w:p w14:paraId="1C76AFB3" w14:textId="77777777" w:rsidR="00075BC2" w:rsidRDefault="00075BC2" w:rsidP="00075BC2">
      <w:pPr>
        <w:spacing w:line="480" w:lineRule="auto"/>
        <w:rPr>
          <w:rFonts w:ascii="Arial" w:hAnsi="Arial" w:cs="Arial"/>
        </w:rPr>
      </w:pPr>
    </w:p>
    <w:p w14:paraId="103F22B9" w14:textId="77777777" w:rsidR="00075BC2" w:rsidRDefault="00075BC2" w:rsidP="00075BC2">
      <w:pPr>
        <w:spacing w:line="480" w:lineRule="auto"/>
        <w:rPr>
          <w:rFonts w:ascii="Arial" w:hAnsi="Arial" w:cs="Arial"/>
        </w:rPr>
      </w:pPr>
    </w:p>
    <w:p w14:paraId="6123CBA0" w14:textId="77777777" w:rsidR="00075BC2" w:rsidRDefault="00075BC2" w:rsidP="00075BC2">
      <w:pPr>
        <w:spacing w:line="480" w:lineRule="auto"/>
        <w:rPr>
          <w:rFonts w:ascii="Arial" w:hAnsi="Arial" w:cs="Arial"/>
        </w:rPr>
      </w:pPr>
    </w:p>
    <w:p w14:paraId="3547B0B6" w14:textId="77777777" w:rsidR="00075BC2" w:rsidRDefault="00075BC2" w:rsidP="00075BC2">
      <w:pPr>
        <w:spacing w:line="480" w:lineRule="auto"/>
        <w:rPr>
          <w:rFonts w:ascii="Arial" w:hAnsi="Arial" w:cs="Arial"/>
        </w:rPr>
      </w:pPr>
    </w:p>
    <w:p w14:paraId="1A530C10" w14:textId="77777777" w:rsidR="00075BC2" w:rsidRDefault="00075BC2" w:rsidP="00075BC2">
      <w:pPr>
        <w:spacing w:line="480" w:lineRule="auto"/>
        <w:rPr>
          <w:rFonts w:ascii="Arial" w:hAnsi="Arial" w:cs="Arial"/>
        </w:rPr>
      </w:pPr>
    </w:p>
    <w:p w14:paraId="7F028266" w14:textId="0ACA9C0C" w:rsidR="00075BC2" w:rsidRDefault="00075BC2" w:rsidP="00075BC2">
      <w:pPr>
        <w:pStyle w:val="Caption"/>
        <w:keepNext/>
        <w:rPr>
          <w:rFonts w:ascii="Arial" w:hAnsi="Arial" w:cs="Arial"/>
        </w:rPr>
      </w:pPr>
      <w:bookmarkStart w:id="2" w:name="_Ref85806427"/>
      <w:r>
        <w:lastRenderedPageBreak/>
        <w:t xml:space="preserve">Figure </w:t>
      </w:r>
      <w:fldSimple w:instr=" SEQ Figure \* ARABIC ">
        <w:r>
          <w:rPr>
            <w:noProof/>
          </w:rPr>
          <w:t>3</w:t>
        </w:r>
      </w:fldSimple>
      <w:bookmarkEnd w:id="2"/>
      <w:r>
        <w:t xml:space="preserve"> </w:t>
      </w:r>
      <w:r w:rsidRPr="00E91B6B">
        <w:rPr>
          <w:rFonts w:ascii="Arial" w:hAnsi="Arial" w:cs="Arial"/>
        </w:rPr>
        <w:t xml:space="preserve">Kaplan Meier curves </w:t>
      </w:r>
      <w:r>
        <w:rPr>
          <w:rFonts w:ascii="Arial" w:hAnsi="Arial" w:cs="Arial"/>
        </w:rPr>
        <w:t>ITT population, a) adjusted for crossover with IPCW; b) adjusted for crossover with TSE</w:t>
      </w:r>
    </w:p>
    <w:p w14:paraId="1E5172ED" w14:textId="77777777" w:rsidR="00075BC2" w:rsidRPr="00EF35E0" w:rsidRDefault="00075BC2" w:rsidP="00075BC2">
      <w:r>
        <w:t>a)</w:t>
      </w:r>
    </w:p>
    <w:p w14:paraId="35B2A8EB" w14:textId="77777777" w:rsidR="00075BC2" w:rsidRDefault="00075BC2" w:rsidP="00075BC2">
      <w:pPr>
        <w:rPr>
          <w:rFonts w:ascii="Arial" w:hAnsi="Arial" w:cs="Arial"/>
        </w:rPr>
      </w:pPr>
      <w:r>
        <w:rPr>
          <w:noProof/>
        </w:rPr>
        <w:drawing>
          <wp:inline distT="0" distB="0" distL="0" distR="0" wp14:anchorId="3064FA5D" wp14:editId="2CE59050">
            <wp:extent cx="5319423" cy="3953912"/>
            <wp:effectExtent l="0" t="0" r="0" b="8890"/>
            <wp:docPr id="32" name="Picture 3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Chart, line chart&#10;&#10;Description automatically generated"/>
                    <pic:cNvPicPr/>
                  </pic:nvPicPr>
                  <pic:blipFill>
                    <a:blip r:embed="rId7"/>
                    <a:stretch>
                      <a:fillRect/>
                    </a:stretch>
                  </pic:blipFill>
                  <pic:spPr>
                    <a:xfrm>
                      <a:off x="0" y="0"/>
                      <a:ext cx="5327256" cy="3959735"/>
                    </a:xfrm>
                    <a:prstGeom prst="rect">
                      <a:avLst/>
                    </a:prstGeom>
                  </pic:spPr>
                </pic:pic>
              </a:graphicData>
            </a:graphic>
          </wp:inline>
        </w:drawing>
      </w:r>
      <w:r w:rsidRPr="00212669">
        <w:rPr>
          <w:noProof/>
        </w:rPr>
        <w:t xml:space="preserve"> </w:t>
      </w:r>
    </w:p>
    <w:p w14:paraId="22070967" w14:textId="77777777" w:rsidR="00075BC2" w:rsidRDefault="00075BC2" w:rsidP="00075BC2">
      <w:r>
        <w:t>b)</w:t>
      </w:r>
    </w:p>
    <w:p w14:paraId="63370BE0" w14:textId="562AAE97" w:rsidR="001C58B1" w:rsidRPr="00075BC2" w:rsidRDefault="00075BC2" w:rsidP="00075BC2">
      <w:pPr>
        <w:spacing w:line="480" w:lineRule="auto"/>
        <w:rPr>
          <w:rFonts w:ascii="Arial" w:hAnsi="Arial" w:cs="Arial"/>
          <w:b/>
          <w:bCs/>
        </w:rPr>
      </w:pPr>
      <w:r>
        <w:rPr>
          <w:noProof/>
        </w:rPr>
        <w:drawing>
          <wp:inline distT="0" distB="0" distL="0" distR="0" wp14:anchorId="7DDE0E52" wp14:editId="4AD86802">
            <wp:extent cx="5550010" cy="3690578"/>
            <wp:effectExtent l="0" t="0" r="0" b="5715"/>
            <wp:docPr id="31" name="Picture 3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Chart, line chart&#10;&#10;Description automatically generated"/>
                    <pic:cNvPicPr/>
                  </pic:nvPicPr>
                  <pic:blipFill>
                    <a:blip r:embed="rId8"/>
                    <a:stretch>
                      <a:fillRect/>
                    </a:stretch>
                  </pic:blipFill>
                  <pic:spPr>
                    <a:xfrm>
                      <a:off x="0" y="0"/>
                      <a:ext cx="5552738" cy="3692392"/>
                    </a:xfrm>
                    <a:prstGeom prst="rect">
                      <a:avLst/>
                    </a:prstGeom>
                  </pic:spPr>
                </pic:pic>
              </a:graphicData>
            </a:graphic>
          </wp:inline>
        </w:drawing>
      </w:r>
    </w:p>
    <w:sectPr w:rsidR="001C58B1" w:rsidRPr="00075BC2" w:rsidSect="003B554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EE85142"/>
    <w:multiLevelType w:val="hybridMultilevel"/>
    <w:tmpl w:val="0A548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43220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BC2"/>
    <w:rsid w:val="00075BC2"/>
    <w:rsid w:val="001C58B1"/>
    <w:rsid w:val="007C66F0"/>
    <w:rsid w:val="009E4A40"/>
    <w:rsid w:val="00E66B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F77D9"/>
  <w15:chartTrackingRefBased/>
  <w15:docId w15:val="{7BCFE391-6D6A-4B9E-9A15-0E619EFCC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2"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5BC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75BC2"/>
    <w:pPr>
      <w:ind w:left="720"/>
      <w:contextualSpacing/>
    </w:pPr>
  </w:style>
  <w:style w:type="character" w:customStyle="1" w:styleId="ListParagraphChar">
    <w:name w:val="List Paragraph Char"/>
    <w:basedOn w:val="DefaultParagraphFont"/>
    <w:link w:val="ListParagraph"/>
    <w:uiPriority w:val="34"/>
    <w:locked/>
    <w:rsid w:val="00075BC2"/>
  </w:style>
  <w:style w:type="paragraph" w:styleId="Caption">
    <w:name w:val="caption"/>
    <w:aliases w:val="NICE Caption"/>
    <w:basedOn w:val="Normal"/>
    <w:next w:val="Normal"/>
    <w:link w:val="CaptionChar"/>
    <w:uiPriority w:val="2"/>
    <w:unhideWhenUsed/>
    <w:qFormat/>
    <w:rsid w:val="00075BC2"/>
    <w:pPr>
      <w:spacing w:after="200" w:line="240" w:lineRule="auto"/>
    </w:pPr>
    <w:rPr>
      <w:i/>
      <w:iCs/>
      <w:color w:val="44546A" w:themeColor="text2"/>
      <w:sz w:val="18"/>
      <w:szCs w:val="18"/>
    </w:rPr>
  </w:style>
  <w:style w:type="character" w:customStyle="1" w:styleId="CaptionChar">
    <w:name w:val="Caption Char"/>
    <w:aliases w:val="NICE Caption Char"/>
    <w:link w:val="Caption"/>
    <w:uiPriority w:val="2"/>
    <w:locked/>
    <w:rsid w:val="00075BC2"/>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iff"/><Relationship Id="rId5" Type="http://schemas.openxmlformats.org/officeDocument/2006/relationships/image" Target="media/image1.tif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652</Words>
  <Characters>3718</Characters>
  <Application>Microsoft Office Word</Application>
  <DocSecurity>0</DocSecurity>
  <Lines>30</Lines>
  <Paragraphs>8</Paragraphs>
  <ScaleCrop>false</ScaleCrop>
  <Company/>
  <LinksUpToDate>false</LinksUpToDate>
  <CharactersWithSpaces>4362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Evans</dc:creator>
  <cp:keywords/>
  <dc:description/>
  <cp:lastModifiedBy>Kerstin Wright</cp:lastModifiedBy>
  <cp:revision>2</cp:revision>
  <dcterms:created xsi:type="dcterms:W3CDTF">2022-06-09T09:06:00Z</dcterms:created>
  <dcterms:modified xsi:type="dcterms:W3CDTF">2022-06-09T09:06:00Z</dcterms:modified>
</cp:coreProperties>
</file>